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دادخانه</w:t>
      </w:r>
    </w:p>
    <w:p>
      <w:pPr>
        <w:jc w:val="center"/>
      </w:pPr>
      <w:r>
        <w:t>www.daadkhane.com</w:t>
      </w:r>
    </w:p>
    <w:p>
      <w:pPr>
        <w:jc w:val="center"/>
      </w:pPr>
      <w:r>
        <w:t>قانون مدنی جمهوری اسلامی ایران</w:t>
      </w:r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